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EEB62" w14:textId="77777777" w:rsidR="00F750FD" w:rsidRPr="00CC2A72" w:rsidRDefault="00F750FD" w:rsidP="00A86AC0">
      <w:pPr>
        <w:rPr>
          <w:rFonts w:asciiTheme="minorEastAsia" w:hAnsiTheme="minorEastAsia"/>
          <w:sz w:val="22"/>
          <w:szCs w:val="22"/>
        </w:rPr>
      </w:pPr>
      <w:bookmarkStart w:id="0" w:name="_GoBack"/>
      <w:bookmarkEnd w:id="0"/>
      <w:r w:rsidRPr="00CC2A72">
        <w:rPr>
          <w:rFonts w:asciiTheme="minorEastAsia" w:hAnsiTheme="minorEastAsia" w:hint="eastAsia"/>
          <w:sz w:val="22"/>
          <w:szCs w:val="22"/>
        </w:rPr>
        <w:t xml:space="preserve">令和３年（行コ）第１１２号　</w:t>
      </w:r>
    </w:p>
    <w:p w14:paraId="423C75E3" w14:textId="5142EEDC" w:rsidR="00A86AC0" w:rsidRPr="00CC2A72" w:rsidRDefault="00F750FD" w:rsidP="00F750FD">
      <w:pPr>
        <w:rPr>
          <w:rFonts w:asciiTheme="minorEastAsia" w:hAnsiTheme="minorEastAsia"/>
          <w:sz w:val="22"/>
          <w:szCs w:val="22"/>
        </w:rPr>
      </w:pPr>
      <w:r w:rsidRPr="00CC2A72">
        <w:rPr>
          <w:rFonts w:asciiTheme="minorEastAsia" w:hAnsiTheme="minorEastAsia" w:hint="eastAsia"/>
          <w:sz w:val="22"/>
          <w:szCs w:val="22"/>
        </w:rPr>
        <w:t>生活保護基準引下処分取消等請求控訴事件</w:t>
      </w:r>
    </w:p>
    <w:p w14:paraId="24836FCA" w14:textId="40D801DF" w:rsidR="00A86AC0" w:rsidRPr="00CC2A72" w:rsidRDefault="00A86AC0" w:rsidP="00A86AC0">
      <w:pPr>
        <w:rPr>
          <w:rFonts w:asciiTheme="minorEastAsia" w:hAnsiTheme="minorEastAsia"/>
          <w:sz w:val="22"/>
          <w:szCs w:val="22"/>
        </w:rPr>
      </w:pPr>
      <w:r w:rsidRPr="00CC2A72">
        <w:rPr>
          <w:rFonts w:asciiTheme="minorEastAsia" w:hAnsiTheme="minorEastAsia" w:hint="eastAsia"/>
          <w:sz w:val="22"/>
          <w:szCs w:val="22"/>
        </w:rPr>
        <w:t>大阪高等裁判所第</w:t>
      </w:r>
      <w:r w:rsidR="00F750FD" w:rsidRPr="00CC2A72">
        <w:rPr>
          <w:rFonts w:asciiTheme="minorEastAsia" w:hAnsiTheme="minorEastAsia" w:hint="eastAsia"/>
          <w:sz w:val="22"/>
          <w:szCs w:val="22"/>
        </w:rPr>
        <w:t>3</w:t>
      </w:r>
      <w:r w:rsidRPr="00CC2A72">
        <w:rPr>
          <w:rFonts w:asciiTheme="minorEastAsia" w:hAnsiTheme="minorEastAsia"/>
          <w:sz w:val="22"/>
          <w:szCs w:val="22"/>
        </w:rPr>
        <w:t>民事部</w:t>
      </w:r>
      <w:r w:rsidR="00F750FD" w:rsidRPr="00CC2A72">
        <w:rPr>
          <w:rFonts w:asciiTheme="minorEastAsia" w:hAnsiTheme="minorEastAsia" w:hint="eastAsia"/>
          <w:sz w:val="22"/>
          <w:szCs w:val="22"/>
        </w:rPr>
        <w:t>ハ</w:t>
      </w:r>
      <w:r w:rsidRPr="00CC2A72">
        <w:rPr>
          <w:rFonts w:asciiTheme="minorEastAsia" w:hAnsiTheme="minorEastAsia"/>
          <w:sz w:val="22"/>
          <w:szCs w:val="22"/>
        </w:rPr>
        <w:t>係</w:t>
      </w:r>
      <w:r w:rsidR="00F750FD" w:rsidRPr="00CC2A72">
        <w:rPr>
          <w:rFonts w:asciiTheme="minorEastAsia" w:hAnsiTheme="minorEastAsia" w:hint="eastAsia"/>
          <w:sz w:val="22"/>
          <w:szCs w:val="22"/>
        </w:rPr>
        <w:t xml:space="preserve">　</w:t>
      </w:r>
      <w:r w:rsidRPr="00CC2A72">
        <w:rPr>
          <w:rFonts w:asciiTheme="minorEastAsia" w:hAnsiTheme="minorEastAsia"/>
          <w:sz w:val="22"/>
          <w:szCs w:val="22"/>
        </w:rPr>
        <w:t>御中</w:t>
      </w:r>
    </w:p>
    <w:p w14:paraId="76F7E4D9" w14:textId="77777777" w:rsidR="00A86AC0" w:rsidRPr="00F750FD" w:rsidRDefault="00A86AC0" w:rsidP="00A86AC0">
      <w:pPr>
        <w:rPr>
          <w:rFonts w:asciiTheme="minorEastAsia" w:hAnsiTheme="minorEastAsia"/>
        </w:rPr>
      </w:pPr>
    </w:p>
    <w:p w14:paraId="6164688E" w14:textId="73FBB88E" w:rsidR="00A86AC0" w:rsidRPr="00090F41" w:rsidRDefault="00A86AC0" w:rsidP="00A86AC0">
      <w:pPr>
        <w:jc w:val="center"/>
        <w:rPr>
          <w:rFonts w:asciiTheme="minorEastAsia" w:hAnsiTheme="minorEastAsia"/>
          <w:sz w:val="30"/>
          <w:szCs w:val="30"/>
        </w:rPr>
      </w:pPr>
      <w:r w:rsidRPr="00090F41">
        <w:rPr>
          <w:rFonts w:asciiTheme="minorEastAsia" w:hAnsiTheme="minorEastAsia" w:hint="eastAsia"/>
          <w:sz w:val="30"/>
          <w:szCs w:val="30"/>
        </w:rPr>
        <w:t>生活保護基準引下げ違憲訴訟・</w:t>
      </w:r>
      <w:r w:rsidR="001D5CD0" w:rsidRPr="00090F41">
        <w:rPr>
          <w:rFonts w:asciiTheme="minorEastAsia" w:hAnsiTheme="minorEastAsia" w:hint="eastAsia"/>
          <w:sz w:val="30"/>
          <w:szCs w:val="30"/>
        </w:rPr>
        <w:t>京都</w:t>
      </w:r>
      <w:r w:rsidRPr="00090F41">
        <w:rPr>
          <w:rFonts w:asciiTheme="minorEastAsia" w:hAnsiTheme="minorEastAsia" w:hint="eastAsia"/>
          <w:sz w:val="30"/>
          <w:szCs w:val="30"/>
        </w:rPr>
        <w:t xml:space="preserve"> </w:t>
      </w:r>
      <w:r w:rsidRPr="00090F41">
        <w:rPr>
          <w:rFonts w:asciiTheme="minorEastAsia" w:hAnsiTheme="minorEastAsia"/>
          <w:sz w:val="30"/>
          <w:szCs w:val="30"/>
        </w:rPr>
        <w:t>公正な審理を求める要請書</w:t>
      </w:r>
    </w:p>
    <w:p w14:paraId="0EAB4FEB" w14:textId="77777777" w:rsidR="00D25A41" w:rsidRPr="001D5CD0" w:rsidRDefault="00D25A41" w:rsidP="00A86AC0">
      <w:pPr>
        <w:jc w:val="center"/>
        <w:rPr>
          <w:rFonts w:asciiTheme="minorEastAsia" w:hAnsiTheme="minorEastAsia"/>
        </w:rPr>
      </w:pPr>
    </w:p>
    <w:p w14:paraId="5B748184" w14:textId="77777777" w:rsidR="00CC2A72" w:rsidRPr="00090F41" w:rsidRDefault="00A86AC0" w:rsidP="00090F41">
      <w:pPr>
        <w:ind w:firstLineChars="100" w:firstLine="240"/>
        <w:rPr>
          <w:rFonts w:asciiTheme="minorEastAsia" w:hAnsiTheme="minorEastAsia"/>
          <w:sz w:val="24"/>
        </w:rPr>
      </w:pPr>
      <w:r w:rsidRPr="00090F41">
        <w:rPr>
          <w:rFonts w:asciiTheme="minorEastAsia" w:hAnsiTheme="minorEastAsia" w:hint="eastAsia"/>
          <w:sz w:val="24"/>
        </w:rPr>
        <w:t>厚生労働省は、</w:t>
      </w:r>
      <w:r w:rsidRPr="00090F41">
        <w:rPr>
          <w:rFonts w:asciiTheme="minorEastAsia" w:hAnsiTheme="minorEastAsia"/>
          <w:sz w:val="24"/>
        </w:rPr>
        <w:t>2013年8月から2015年4月までの1年9ケ月</w:t>
      </w:r>
      <w:r w:rsidR="00D25A41" w:rsidRPr="00090F41">
        <w:rPr>
          <w:rFonts w:asciiTheme="minorEastAsia" w:hAnsiTheme="minorEastAsia" w:hint="eastAsia"/>
          <w:sz w:val="24"/>
        </w:rPr>
        <w:t>の間に</w:t>
      </w:r>
      <w:r w:rsidRPr="00090F41">
        <w:rPr>
          <w:rFonts w:asciiTheme="minorEastAsia" w:hAnsiTheme="minorEastAsia"/>
          <w:sz w:val="24"/>
        </w:rPr>
        <w:t>下げ幅</w:t>
      </w:r>
      <w:r w:rsidR="00D25A41" w:rsidRPr="00090F41">
        <w:rPr>
          <w:rFonts w:asciiTheme="minorEastAsia" w:hAnsiTheme="minorEastAsia" w:hint="eastAsia"/>
          <w:sz w:val="24"/>
        </w:rPr>
        <w:t>が</w:t>
      </w:r>
      <w:r w:rsidRPr="00090F41">
        <w:rPr>
          <w:rFonts w:asciiTheme="minorEastAsia" w:hAnsiTheme="minorEastAsia"/>
          <w:sz w:val="24"/>
        </w:rPr>
        <w:t>過去最大（平均</w:t>
      </w:r>
      <w:r w:rsidR="001D5CD0" w:rsidRPr="00090F41">
        <w:rPr>
          <w:rFonts w:asciiTheme="minorEastAsia" w:hAnsiTheme="minorEastAsia" w:hint="eastAsia"/>
          <w:sz w:val="24"/>
        </w:rPr>
        <w:t>で</w:t>
      </w:r>
      <w:r w:rsidRPr="00090F41">
        <w:rPr>
          <w:rFonts w:asciiTheme="minorEastAsia" w:hAnsiTheme="minorEastAsia"/>
          <w:sz w:val="24"/>
        </w:rPr>
        <w:t>6.5%、最大10％）、削減額は670億円</w:t>
      </w:r>
      <w:r w:rsidR="00D25A41" w:rsidRPr="00090F41">
        <w:rPr>
          <w:rFonts w:asciiTheme="minorEastAsia" w:hAnsiTheme="minorEastAsia" w:hint="eastAsia"/>
          <w:sz w:val="24"/>
        </w:rPr>
        <w:t>の生活保護基準引き下げを行いました。</w:t>
      </w:r>
    </w:p>
    <w:p w14:paraId="62C6B3B2" w14:textId="77777777" w:rsidR="00CC2A72" w:rsidRPr="00090F41" w:rsidRDefault="00A86AC0" w:rsidP="00CC2A72">
      <w:pPr>
        <w:rPr>
          <w:rFonts w:asciiTheme="minorEastAsia" w:hAnsiTheme="minorEastAsia"/>
          <w:sz w:val="24"/>
        </w:rPr>
      </w:pPr>
      <w:r w:rsidRPr="00090F41">
        <w:rPr>
          <w:rFonts w:asciiTheme="minorEastAsia" w:hAnsiTheme="minorEastAsia"/>
          <w:sz w:val="24"/>
        </w:rPr>
        <w:t>生活保護利用者の96％の世帯に影響が及ぶ前例のない引き下げで</w:t>
      </w:r>
      <w:r w:rsidR="00D25A41" w:rsidRPr="00090F41">
        <w:rPr>
          <w:rFonts w:asciiTheme="minorEastAsia" w:hAnsiTheme="minorEastAsia" w:hint="eastAsia"/>
          <w:sz w:val="24"/>
        </w:rPr>
        <w:t>した。</w:t>
      </w:r>
      <w:r w:rsidRPr="00090F41">
        <w:rPr>
          <w:rFonts w:asciiTheme="minorEastAsia" w:hAnsiTheme="minorEastAsia" w:hint="eastAsia"/>
          <w:sz w:val="24"/>
        </w:rPr>
        <w:t>しかし、この引き下げは恣意的なデータ分析</w:t>
      </w:r>
      <w:r w:rsidR="00D25A41" w:rsidRPr="00090F41">
        <w:rPr>
          <w:rFonts w:asciiTheme="minorEastAsia" w:hAnsiTheme="minorEastAsia" w:hint="eastAsia"/>
          <w:sz w:val="24"/>
        </w:rPr>
        <w:t>に基づいており、</w:t>
      </w:r>
      <w:r w:rsidRPr="00090F41">
        <w:rPr>
          <w:rFonts w:asciiTheme="minorEastAsia" w:hAnsiTheme="minorEastAsia" w:hint="eastAsia"/>
          <w:sz w:val="24"/>
        </w:rPr>
        <w:t>「物価偽装」とも言えるほどの問題点が明ら</w:t>
      </w:r>
    </w:p>
    <w:p w14:paraId="258BE863" w14:textId="77777777" w:rsidR="00CC2A72" w:rsidRPr="00090F41" w:rsidRDefault="00A86AC0" w:rsidP="00CC2A72">
      <w:pPr>
        <w:rPr>
          <w:rFonts w:asciiTheme="minorEastAsia" w:hAnsiTheme="minorEastAsia"/>
          <w:sz w:val="24"/>
        </w:rPr>
      </w:pPr>
      <w:r w:rsidRPr="00090F41">
        <w:rPr>
          <w:rFonts w:asciiTheme="minorEastAsia" w:hAnsiTheme="minorEastAsia" w:hint="eastAsia"/>
          <w:sz w:val="24"/>
        </w:rPr>
        <w:t>かになりました。また、選挙公約どおりの結果を導くため、専門家による基準部会の意見</w:t>
      </w:r>
    </w:p>
    <w:p w14:paraId="3535E3F8" w14:textId="7BE89AE9" w:rsidR="00A86AC0" w:rsidRPr="00090F41" w:rsidRDefault="00A86AC0" w:rsidP="00CC2A72">
      <w:pPr>
        <w:rPr>
          <w:rFonts w:asciiTheme="minorEastAsia" w:hAnsiTheme="minorEastAsia"/>
          <w:sz w:val="24"/>
        </w:rPr>
      </w:pPr>
      <w:r w:rsidRPr="00090F41">
        <w:rPr>
          <w:rFonts w:asciiTheme="minorEastAsia" w:hAnsiTheme="minorEastAsia" w:hint="eastAsia"/>
          <w:sz w:val="24"/>
        </w:rPr>
        <w:t>も経ていないなど、結論ありきで引き下げが決定されたと言えます。</w:t>
      </w:r>
    </w:p>
    <w:p w14:paraId="6BF6BB48" w14:textId="77777777" w:rsidR="00CC2A72" w:rsidRPr="00090F41" w:rsidRDefault="00D25A41" w:rsidP="00D25A41">
      <w:pPr>
        <w:ind w:firstLineChars="100" w:firstLine="240"/>
        <w:rPr>
          <w:rFonts w:asciiTheme="minorEastAsia" w:hAnsiTheme="minorEastAsia"/>
          <w:sz w:val="24"/>
        </w:rPr>
      </w:pPr>
      <w:r w:rsidRPr="00090F41">
        <w:rPr>
          <w:rFonts w:asciiTheme="minorEastAsia" w:hAnsiTheme="minorEastAsia" w:hint="eastAsia"/>
          <w:sz w:val="24"/>
        </w:rPr>
        <w:t>ところが、</w:t>
      </w:r>
      <w:r w:rsidR="00A86AC0" w:rsidRPr="00090F41">
        <w:rPr>
          <w:rFonts w:asciiTheme="minorEastAsia" w:hAnsiTheme="minorEastAsia" w:hint="eastAsia"/>
          <w:sz w:val="24"/>
        </w:rPr>
        <w:t>京都地方裁判所は</w:t>
      </w:r>
      <w:r w:rsidR="00A86AC0" w:rsidRPr="00090F41">
        <w:rPr>
          <w:rFonts w:asciiTheme="minorEastAsia" w:hAnsiTheme="minorEastAsia"/>
          <w:sz w:val="24"/>
        </w:rPr>
        <w:t>2021</w:t>
      </w:r>
      <w:r w:rsidR="00A86AC0" w:rsidRPr="00090F41">
        <w:rPr>
          <w:rFonts w:asciiTheme="minorEastAsia" w:hAnsiTheme="minorEastAsia" w:hint="eastAsia"/>
          <w:sz w:val="24"/>
        </w:rPr>
        <w:t>年</w:t>
      </w:r>
      <w:r w:rsidR="00A86AC0" w:rsidRPr="00090F41">
        <w:rPr>
          <w:rFonts w:asciiTheme="minorEastAsia" w:hAnsiTheme="minorEastAsia"/>
          <w:sz w:val="24"/>
        </w:rPr>
        <w:t>9</w:t>
      </w:r>
      <w:r w:rsidR="00A86AC0" w:rsidRPr="00090F41">
        <w:rPr>
          <w:rFonts w:asciiTheme="minorEastAsia" w:hAnsiTheme="minorEastAsia" w:hint="eastAsia"/>
          <w:sz w:val="24"/>
        </w:rPr>
        <w:t>月</w:t>
      </w:r>
      <w:r w:rsidR="00A86AC0" w:rsidRPr="00090F41">
        <w:rPr>
          <w:rFonts w:asciiTheme="minorEastAsia" w:hAnsiTheme="minorEastAsia"/>
          <w:sz w:val="24"/>
        </w:rPr>
        <w:t>14</w:t>
      </w:r>
      <w:r w:rsidR="00A86AC0" w:rsidRPr="00090F41">
        <w:rPr>
          <w:rFonts w:asciiTheme="minorEastAsia" w:hAnsiTheme="minorEastAsia" w:hint="eastAsia"/>
          <w:sz w:val="24"/>
        </w:rPr>
        <w:t>日に</w:t>
      </w:r>
      <w:r w:rsidRPr="00090F41">
        <w:rPr>
          <w:rFonts w:asciiTheme="minorEastAsia" w:hAnsiTheme="minorEastAsia" w:hint="eastAsia"/>
          <w:sz w:val="24"/>
        </w:rPr>
        <w:t>、生活保護利用者の置かれた厳しい生活実態に</w:t>
      </w:r>
      <w:r w:rsidR="007C06F6" w:rsidRPr="00090F41">
        <w:rPr>
          <w:rFonts w:asciiTheme="minorEastAsia" w:hAnsiTheme="minorEastAsia" w:hint="eastAsia"/>
          <w:sz w:val="24"/>
        </w:rPr>
        <w:t>触れることなく、原告らの主張を</w:t>
      </w:r>
      <w:r w:rsidR="00EE4686" w:rsidRPr="00090F41">
        <w:rPr>
          <w:rFonts w:asciiTheme="minorEastAsia" w:hAnsiTheme="minorEastAsia" w:hint="eastAsia"/>
          <w:sz w:val="24"/>
        </w:rPr>
        <w:t>棄却</w:t>
      </w:r>
      <w:r w:rsidR="007C06F6" w:rsidRPr="00090F41">
        <w:rPr>
          <w:rFonts w:asciiTheme="minorEastAsia" w:hAnsiTheme="minorEastAsia" w:hint="eastAsia"/>
          <w:sz w:val="24"/>
        </w:rPr>
        <w:t>しました。このような判決は、裁判所が原</w:t>
      </w:r>
    </w:p>
    <w:p w14:paraId="7F0967B6" w14:textId="035EEEAB" w:rsidR="00D25A41" w:rsidRPr="00090F41" w:rsidRDefault="007C06F6" w:rsidP="00CC2A72">
      <w:pPr>
        <w:rPr>
          <w:rFonts w:asciiTheme="minorEastAsia" w:hAnsiTheme="minorEastAsia"/>
          <w:sz w:val="24"/>
        </w:rPr>
      </w:pPr>
      <w:r w:rsidRPr="00090F41">
        <w:rPr>
          <w:rFonts w:asciiTheme="minorEastAsia" w:hAnsiTheme="minorEastAsia" w:hint="eastAsia"/>
          <w:sz w:val="24"/>
        </w:rPr>
        <w:t>告の生活実態に</w:t>
      </w:r>
      <w:r w:rsidR="00D25A41" w:rsidRPr="00090F41">
        <w:rPr>
          <w:rFonts w:asciiTheme="minorEastAsia" w:hAnsiTheme="minorEastAsia" w:hint="eastAsia"/>
          <w:sz w:val="24"/>
        </w:rPr>
        <w:t>真摯に向き合わなかったと厳しく批判せざるを得</w:t>
      </w:r>
      <w:r w:rsidRPr="00090F41">
        <w:rPr>
          <w:rFonts w:asciiTheme="minorEastAsia" w:hAnsiTheme="minorEastAsia" w:hint="eastAsia"/>
          <w:sz w:val="24"/>
        </w:rPr>
        <w:t>ません</w:t>
      </w:r>
      <w:r w:rsidR="00D25A41" w:rsidRPr="00090F41">
        <w:rPr>
          <w:rFonts w:asciiTheme="minorEastAsia" w:hAnsiTheme="minorEastAsia" w:hint="eastAsia"/>
          <w:sz w:val="24"/>
        </w:rPr>
        <w:t>。</w:t>
      </w:r>
    </w:p>
    <w:p w14:paraId="5F09B000" w14:textId="77777777" w:rsidR="00CC2A72" w:rsidRPr="00090F41" w:rsidRDefault="00CC2A72" w:rsidP="007C06F6">
      <w:pPr>
        <w:ind w:firstLineChars="100" w:firstLine="240"/>
        <w:rPr>
          <w:rFonts w:asciiTheme="minorEastAsia" w:hAnsiTheme="minorEastAsia"/>
          <w:sz w:val="24"/>
        </w:rPr>
      </w:pPr>
      <w:r w:rsidRPr="00090F41">
        <w:rPr>
          <w:rFonts w:asciiTheme="minorEastAsia" w:hAnsiTheme="minorEastAsia" w:hint="eastAsia"/>
          <w:sz w:val="24"/>
        </w:rPr>
        <w:t>また、</w:t>
      </w:r>
      <w:r w:rsidR="00A86AC0" w:rsidRPr="00090F41">
        <w:rPr>
          <w:rFonts w:asciiTheme="minorEastAsia" w:hAnsiTheme="minorEastAsia" w:hint="eastAsia"/>
          <w:sz w:val="24"/>
        </w:rPr>
        <w:t>生活保護基準はナショナル・ミニマムとしての役割を持ち、最低賃金</w:t>
      </w:r>
      <w:r w:rsidRPr="00090F41">
        <w:rPr>
          <w:rFonts w:asciiTheme="minorEastAsia" w:hAnsiTheme="minorEastAsia" w:hint="eastAsia"/>
          <w:sz w:val="24"/>
        </w:rPr>
        <w:t>や</w:t>
      </w:r>
      <w:r w:rsidR="00A86AC0" w:rsidRPr="00090F41">
        <w:rPr>
          <w:rFonts w:asciiTheme="minorEastAsia" w:hAnsiTheme="minorEastAsia" w:hint="eastAsia"/>
          <w:sz w:val="24"/>
        </w:rPr>
        <w:t>住民税非</w:t>
      </w:r>
    </w:p>
    <w:p w14:paraId="41ACD973" w14:textId="77777777" w:rsidR="00090F41" w:rsidRDefault="00A86AC0" w:rsidP="0001029A">
      <w:pPr>
        <w:rPr>
          <w:rFonts w:asciiTheme="minorEastAsia" w:hAnsiTheme="minorEastAsia"/>
          <w:sz w:val="24"/>
        </w:rPr>
      </w:pPr>
      <w:r w:rsidRPr="00090F41">
        <w:rPr>
          <w:rFonts w:asciiTheme="minorEastAsia" w:hAnsiTheme="minorEastAsia" w:hint="eastAsia"/>
          <w:sz w:val="24"/>
        </w:rPr>
        <w:t>課税基準</w:t>
      </w:r>
      <w:r w:rsidR="00CC2A72" w:rsidRPr="00090F41">
        <w:rPr>
          <w:rFonts w:asciiTheme="minorEastAsia" w:hAnsiTheme="minorEastAsia" w:hint="eastAsia"/>
          <w:sz w:val="24"/>
        </w:rPr>
        <w:t>などに用いられています。</w:t>
      </w:r>
      <w:r w:rsidR="007C06F6" w:rsidRPr="00090F41">
        <w:rPr>
          <w:rFonts w:asciiTheme="minorEastAsia" w:hAnsiTheme="minorEastAsia" w:hint="eastAsia"/>
          <w:sz w:val="24"/>
        </w:rPr>
        <w:t>生活</w:t>
      </w:r>
      <w:r w:rsidRPr="00090F41">
        <w:rPr>
          <w:rFonts w:asciiTheme="minorEastAsia" w:hAnsiTheme="minorEastAsia" w:hint="eastAsia"/>
          <w:sz w:val="24"/>
        </w:rPr>
        <w:t>保護</w:t>
      </w:r>
      <w:r w:rsidR="00CC2A72" w:rsidRPr="00090F41">
        <w:rPr>
          <w:rFonts w:asciiTheme="minorEastAsia" w:hAnsiTheme="minorEastAsia" w:hint="eastAsia"/>
          <w:sz w:val="24"/>
        </w:rPr>
        <w:t>基準の引き下げは、生活保護世帯だけでなく、</w:t>
      </w:r>
      <w:r w:rsidR="00090F41">
        <w:rPr>
          <w:rFonts w:asciiTheme="minorEastAsia" w:hAnsiTheme="minorEastAsia" w:hint="eastAsia"/>
          <w:sz w:val="24"/>
        </w:rPr>
        <w:t>多</w:t>
      </w:r>
      <w:r w:rsidR="00CC2A72" w:rsidRPr="00090F41">
        <w:rPr>
          <w:rFonts w:asciiTheme="minorEastAsia" w:hAnsiTheme="minorEastAsia" w:hint="eastAsia"/>
          <w:sz w:val="24"/>
        </w:rPr>
        <w:t>施策の利用者にも大きく影響するものです。昨年</w:t>
      </w:r>
      <w:r w:rsidR="00090F41">
        <w:rPr>
          <w:rFonts w:asciiTheme="minorEastAsia" w:hAnsiTheme="minorEastAsia" w:hint="eastAsia"/>
          <w:sz w:val="24"/>
        </w:rPr>
        <w:t>来</w:t>
      </w:r>
      <w:r w:rsidR="00CC2A72" w:rsidRPr="00090F41">
        <w:rPr>
          <w:rFonts w:asciiTheme="minorEastAsia" w:hAnsiTheme="minorEastAsia" w:hint="eastAsia"/>
          <w:sz w:val="24"/>
        </w:rPr>
        <w:t>からのコロナ禍で、生活保護の</w:t>
      </w:r>
      <w:r w:rsidR="00090F41" w:rsidRPr="00090F41">
        <w:rPr>
          <w:rFonts w:asciiTheme="minorEastAsia" w:hAnsiTheme="minorEastAsia" w:hint="eastAsia"/>
          <w:sz w:val="24"/>
        </w:rPr>
        <w:t>重要</w:t>
      </w:r>
    </w:p>
    <w:p w14:paraId="010A1657" w14:textId="77777777" w:rsidR="00090F41" w:rsidRDefault="00090F41" w:rsidP="00CC2A72">
      <w:pPr>
        <w:rPr>
          <w:rFonts w:asciiTheme="minorEastAsia" w:hAnsiTheme="minorEastAsia"/>
          <w:sz w:val="24"/>
        </w:rPr>
      </w:pPr>
      <w:r w:rsidRPr="00090F41">
        <w:rPr>
          <w:rFonts w:asciiTheme="minorEastAsia" w:hAnsiTheme="minorEastAsia" w:hint="eastAsia"/>
          <w:sz w:val="24"/>
        </w:rPr>
        <w:t>性はますます大きくなっています。</w:t>
      </w:r>
      <w:r w:rsidR="00D25A41" w:rsidRPr="00090F41">
        <w:rPr>
          <w:rFonts w:asciiTheme="minorEastAsia" w:hAnsiTheme="minorEastAsia" w:hint="eastAsia"/>
          <w:sz w:val="24"/>
        </w:rPr>
        <w:t>誰もが安心して健康で文化的な最低限度の生活ができ</w:t>
      </w:r>
    </w:p>
    <w:p w14:paraId="5270384E" w14:textId="77777777" w:rsidR="00090F41" w:rsidRDefault="00D25A41" w:rsidP="00CC2A72">
      <w:pPr>
        <w:rPr>
          <w:rFonts w:asciiTheme="minorEastAsia" w:hAnsiTheme="minorEastAsia"/>
          <w:sz w:val="24"/>
        </w:rPr>
      </w:pPr>
      <w:r w:rsidRPr="00090F41">
        <w:rPr>
          <w:rFonts w:asciiTheme="minorEastAsia" w:hAnsiTheme="minorEastAsia" w:hint="eastAsia"/>
          <w:sz w:val="24"/>
        </w:rPr>
        <w:t>るような生活保護基準となるよう、裁判所が国に忖度せず徹底した審理を行い</w:t>
      </w:r>
      <w:r w:rsidR="00090F41">
        <w:rPr>
          <w:rFonts w:asciiTheme="minorEastAsia" w:hAnsiTheme="minorEastAsia" w:hint="eastAsia"/>
          <w:sz w:val="24"/>
        </w:rPr>
        <w:t>、</w:t>
      </w:r>
      <w:r w:rsidRPr="00090F41">
        <w:rPr>
          <w:rFonts w:asciiTheme="minorEastAsia" w:hAnsiTheme="minorEastAsia" w:hint="eastAsia"/>
          <w:sz w:val="24"/>
        </w:rPr>
        <w:t>公正な判</w:t>
      </w:r>
    </w:p>
    <w:tbl>
      <w:tblPr>
        <w:tblStyle w:val="a3"/>
        <w:tblpPr w:leftFromText="142" w:rightFromText="142" w:vertAnchor="text" w:horzAnchor="margin" w:tblpY="607"/>
        <w:tblW w:w="0" w:type="auto"/>
        <w:tblLook w:val="04A0" w:firstRow="1" w:lastRow="0" w:firstColumn="1" w:lastColumn="0" w:noHBand="0" w:noVBand="1"/>
      </w:tblPr>
      <w:tblGrid>
        <w:gridCol w:w="2830"/>
        <w:gridCol w:w="6900"/>
      </w:tblGrid>
      <w:tr w:rsidR="0001029A" w:rsidRPr="001D5CD0" w14:paraId="34313182" w14:textId="77777777" w:rsidTr="0001029A">
        <w:trPr>
          <w:trHeight w:val="610"/>
        </w:trPr>
        <w:tc>
          <w:tcPr>
            <w:tcW w:w="2830" w:type="dxa"/>
          </w:tcPr>
          <w:p w14:paraId="4D5834E8" w14:textId="77777777" w:rsidR="0001029A" w:rsidRPr="0001029A" w:rsidRDefault="0001029A" w:rsidP="0001029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029A">
              <w:rPr>
                <w:rFonts w:asciiTheme="minorEastAsia" w:hAnsiTheme="minorEastAsia" w:hint="eastAsia"/>
                <w:sz w:val="28"/>
                <w:szCs w:val="28"/>
              </w:rPr>
              <w:t>お名前</w:t>
            </w:r>
          </w:p>
        </w:tc>
        <w:tc>
          <w:tcPr>
            <w:tcW w:w="6900" w:type="dxa"/>
          </w:tcPr>
          <w:p w14:paraId="4BF29454" w14:textId="77777777" w:rsidR="0001029A" w:rsidRPr="0001029A" w:rsidRDefault="0001029A" w:rsidP="0001029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029A">
              <w:rPr>
                <w:rFonts w:asciiTheme="minorEastAsia" w:hAnsiTheme="minorEastAsia" w:hint="eastAsia"/>
                <w:sz w:val="28"/>
                <w:szCs w:val="28"/>
              </w:rPr>
              <w:t>住所</w:t>
            </w:r>
          </w:p>
        </w:tc>
      </w:tr>
      <w:tr w:rsidR="0001029A" w:rsidRPr="001D5CD0" w14:paraId="39B771AC" w14:textId="77777777" w:rsidTr="0001029A">
        <w:trPr>
          <w:trHeight w:val="544"/>
        </w:trPr>
        <w:tc>
          <w:tcPr>
            <w:tcW w:w="2830" w:type="dxa"/>
          </w:tcPr>
          <w:p w14:paraId="5E451DA5" w14:textId="77777777" w:rsidR="0001029A" w:rsidRPr="001D5CD0" w:rsidRDefault="0001029A" w:rsidP="0001029A">
            <w:pPr>
              <w:rPr>
                <w:rFonts w:asciiTheme="minorEastAsia" w:hAnsiTheme="minorEastAsia"/>
              </w:rPr>
            </w:pPr>
          </w:p>
        </w:tc>
        <w:tc>
          <w:tcPr>
            <w:tcW w:w="6900" w:type="dxa"/>
          </w:tcPr>
          <w:p w14:paraId="1C8F1F7B" w14:textId="77777777" w:rsidR="0001029A" w:rsidRPr="001D5CD0" w:rsidRDefault="0001029A" w:rsidP="0001029A">
            <w:pPr>
              <w:rPr>
                <w:rFonts w:asciiTheme="minorEastAsia" w:hAnsiTheme="minorEastAsia"/>
              </w:rPr>
            </w:pPr>
          </w:p>
        </w:tc>
      </w:tr>
      <w:tr w:rsidR="0001029A" w:rsidRPr="001D5CD0" w14:paraId="315D8F44" w14:textId="77777777" w:rsidTr="0001029A">
        <w:trPr>
          <w:trHeight w:val="551"/>
        </w:trPr>
        <w:tc>
          <w:tcPr>
            <w:tcW w:w="2830" w:type="dxa"/>
          </w:tcPr>
          <w:p w14:paraId="4D90B1F8" w14:textId="77777777" w:rsidR="0001029A" w:rsidRPr="001D5CD0" w:rsidRDefault="0001029A" w:rsidP="0001029A">
            <w:pPr>
              <w:rPr>
                <w:rFonts w:asciiTheme="minorEastAsia" w:hAnsiTheme="minorEastAsia"/>
              </w:rPr>
            </w:pPr>
          </w:p>
        </w:tc>
        <w:tc>
          <w:tcPr>
            <w:tcW w:w="6900" w:type="dxa"/>
          </w:tcPr>
          <w:p w14:paraId="430852CE" w14:textId="77777777" w:rsidR="0001029A" w:rsidRPr="001D5CD0" w:rsidRDefault="0001029A" w:rsidP="0001029A">
            <w:pPr>
              <w:rPr>
                <w:rFonts w:asciiTheme="minorEastAsia" w:hAnsiTheme="minorEastAsia"/>
              </w:rPr>
            </w:pPr>
          </w:p>
        </w:tc>
      </w:tr>
      <w:tr w:rsidR="0001029A" w:rsidRPr="001D5CD0" w14:paraId="55C3931E" w14:textId="77777777" w:rsidTr="0001029A">
        <w:trPr>
          <w:trHeight w:val="573"/>
        </w:trPr>
        <w:tc>
          <w:tcPr>
            <w:tcW w:w="2830" w:type="dxa"/>
          </w:tcPr>
          <w:p w14:paraId="6D4DE2CA" w14:textId="77777777" w:rsidR="0001029A" w:rsidRPr="001D5CD0" w:rsidRDefault="0001029A" w:rsidP="0001029A">
            <w:pPr>
              <w:rPr>
                <w:rFonts w:asciiTheme="minorEastAsia" w:hAnsiTheme="minorEastAsia"/>
              </w:rPr>
            </w:pPr>
          </w:p>
        </w:tc>
        <w:tc>
          <w:tcPr>
            <w:tcW w:w="6900" w:type="dxa"/>
          </w:tcPr>
          <w:p w14:paraId="60025D56" w14:textId="77777777" w:rsidR="0001029A" w:rsidRPr="001D5CD0" w:rsidRDefault="0001029A" w:rsidP="0001029A">
            <w:pPr>
              <w:rPr>
                <w:rFonts w:asciiTheme="minorEastAsia" w:hAnsiTheme="minorEastAsia"/>
              </w:rPr>
            </w:pPr>
          </w:p>
        </w:tc>
      </w:tr>
      <w:tr w:rsidR="0001029A" w:rsidRPr="001D5CD0" w14:paraId="00ECC54C" w14:textId="77777777" w:rsidTr="0001029A">
        <w:trPr>
          <w:trHeight w:val="553"/>
        </w:trPr>
        <w:tc>
          <w:tcPr>
            <w:tcW w:w="2830" w:type="dxa"/>
          </w:tcPr>
          <w:p w14:paraId="4AEFCECC" w14:textId="77777777" w:rsidR="0001029A" w:rsidRPr="001D5CD0" w:rsidRDefault="0001029A" w:rsidP="0001029A">
            <w:pPr>
              <w:rPr>
                <w:rFonts w:asciiTheme="minorEastAsia" w:hAnsiTheme="minorEastAsia"/>
              </w:rPr>
            </w:pPr>
          </w:p>
        </w:tc>
        <w:tc>
          <w:tcPr>
            <w:tcW w:w="6900" w:type="dxa"/>
          </w:tcPr>
          <w:p w14:paraId="6CDD4D56" w14:textId="77777777" w:rsidR="0001029A" w:rsidRPr="001D5CD0" w:rsidRDefault="0001029A" w:rsidP="0001029A">
            <w:pPr>
              <w:rPr>
                <w:rFonts w:asciiTheme="minorEastAsia" w:hAnsiTheme="minorEastAsia"/>
              </w:rPr>
            </w:pPr>
          </w:p>
        </w:tc>
      </w:tr>
      <w:tr w:rsidR="0001029A" w:rsidRPr="001D5CD0" w14:paraId="526CAA74" w14:textId="77777777" w:rsidTr="0001029A">
        <w:trPr>
          <w:trHeight w:val="547"/>
        </w:trPr>
        <w:tc>
          <w:tcPr>
            <w:tcW w:w="2830" w:type="dxa"/>
          </w:tcPr>
          <w:p w14:paraId="16599B33" w14:textId="77777777" w:rsidR="0001029A" w:rsidRPr="001D5CD0" w:rsidRDefault="0001029A" w:rsidP="0001029A">
            <w:pPr>
              <w:rPr>
                <w:rFonts w:asciiTheme="minorEastAsia" w:hAnsiTheme="minorEastAsia"/>
              </w:rPr>
            </w:pPr>
          </w:p>
        </w:tc>
        <w:tc>
          <w:tcPr>
            <w:tcW w:w="6900" w:type="dxa"/>
          </w:tcPr>
          <w:p w14:paraId="06A3BBEA" w14:textId="77777777" w:rsidR="0001029A" w:rsidRPr="001D5CD0" w:rsidRDefault="0001029A" w:rsidP="0001029A">
            <w:pPr>
              <w:rPr>
                <w:rFonts w:asciiTheme="minorEastAsia" w:hAnsiTheme="minorEastAsia"/>
              </w:rPr>
            </w:pPr>
          </w:p>
        </w:tc>
      </w:tr>
    </w:tbl>
    <w:p w14:paraId="5C8C4F47" w14:textId="4CED9B6B" w:rsidR="001D5CD0" w:rsidRPr="00090F41" w:rsidRDefault="00D25A41" w:rsidP="00CC2A72">
      <w:pPr>
        <w:rPr>
          <w:rFonts w:asciiTheme="minorEastAsia" w:hAnsiTheme="minorEastAsia"/>
          <w:sz w:val="24"/>
        </w:rPr>
      </w:pPr>
      <w:r w:rsidRPr="00090F41">
        <w:rPr>
          <w:rFonts w:asciiTheme="minorEastAsia" w:hAnsiTheme="minorEastAsia" w:hint="eastAsia"/>
          <w:sz w:val="24"/>
        </w:rPr>
        <w:t>断を下されることを求めます。</w:t>
      </w:r>
    </w:p>
    <w:p w14:paraId="1C66A1B3" w14:textId="77777777" w:rsidR="00090F41" w:rsidRPr="00CC2A72" w:rsidRDefault="00090F41" w:rsidP="00CC2A72">
      <w:pPr>
        <w:rPr>
          <w:rFonts w:asciiTheme="minorEastAsia" w:hAnsiTheme="minorEastAsia"/>
          <w:sz w:val="24"/>
        </w:rPr>
      </w:pPr>
    </w:p>
    <w:p w14:paraId="080C97CF" w14:textId="5FB2BF6C" w:rsidR="001D5CD0" w:rsidRPr="00090F41" w:rsidRDefault="00090F41" w:rsidP="0001029A">
      <w:pPr>
        <w:ind w:firstLineChars="500" w:firstLine="1100"/>
        <w:jc w:val="right"/>
        <w:rPr>
          <w:rFonts w:asciiTheme="minorEastAsia" w:hAnsiTheme="minorEastAsia"/>
          <w:sz w:val="22"/>
          <w:szCs w:val="22"/>
        </w:rPr>
      </w:pPr>
      <w:r w:rsidRPr="00090F41">
        <w:rPr>
          <w:rFonts w:ascii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A2A57" wp14:editId="380D86CC">
                <wp:simplePos x="0" y="0"/>
                <wp:positionH relativeFrom="column">
                  <wp:posOffset>276225</wp:posOffset>
                </wp:positionH>
                <wp:positionV relativeFrom="paragraph">
                  <wp:posOffset>12701</wp:posOffset>
                </wp:positionV>
                <wp:extent cx="1608993" cy="1131570"/>
                <wp:effectExtent l="0" t="0" r="1079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993" cy="1131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94FA3" w14:textId="70EE020D" w:rsidR="006F7594" w:rsidRPr="00AC4620" w:rsidRDefault="006F759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4620">
                              <w:rPr>
                                <w:rFonts w:hint="eastAsia"/>
                                <w:b/>
                                <w:bCs/>
                              </w:rPr>
                              <w:t>ウェブ署名も可能です</w:t>
                            </w:r>
                          </w:p>
                          <w:p w14:paraId="75D19997" w14:textId="14F86D58" w:rsidR="00AC4620" w:rsidRDefault="00D1525A" w:rsidP="00AC46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98783CA" wp14:editId="353FFABE">
                                  <wp:extent cx="649117" cy="649117"/>
                                  <wp:effectExtent l="0" t="0" r="0" b="0"/>
                                  <wp:docPr id="3" name="図 3" descr="QR コード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3" descr="QR コード&#10;&#10;自動的に生成された説明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615" cy="659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DA2A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.75pt;margin-top:1pt;width:126.7pt;height:8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FSOAIAAH0EAAAOAAAAZHJzL2Uyb0RvYy54bWysVEtv2zAMvg/YfxB0X2zn1caIU2QpMgwI&#10;2gJp0bMiy7ExWdQkJXb260cpzqvbadhFJkXyE/mR9PShrSXZC2MrUBlNejElQnHIK7XN6Nvr8ss9&#10;JdYxlTMJSmT0ICx9mH3+NG10KvpQgsyFIQiibNrojJbO6TSKLC9FzWwPtFBoLMDUzKFqtlFuWIPo&#10;tYz6cTyOGjC5NsCFtXj7eDTSWcAvCsHdc1FY4YjMKObmwmnCufFnNJuydGuYLivepcH+IYuaVQof&#10;PUM9MsfIzlR/QNUVN2ChcD0OdQRFUXERasBqkvhDNeuSaRFqQXKsPtNk/x8sf9qv9Yshrv0KLTbQ&#10;E9Jom1q89PW0han9FzMlaEcKD2faROsI90Hj+H4yGVDC0ZYkg2R0F4iNLuHaWPdNQE28kFGDfQl0&#10;sf3KOnwSXU8u/jULssqXlZRB8bMgFtKQPcMuSheSxIgbL6lIk9HxYBQH4Bubhz7HbyTjP3yZtwio&#10;SYWXl+K95NpN2zGygfyARBk4zpDVfFkh7opZ98IMDg1yg4vgnvEoJGAy0EmUlGB+/e3e+2Mv0UpJ&#10;g0OYUftzx4ygRH5X2OVJMhz6qQ3KcHTXR8VcWzbXFrWrF4AMJbhymgfR+zt5EgsD9Tvuy9y/iiam&#10;OL6dUXcSF+64GrhvXMznwQnnVDO3UmvNPbTviOfztX1nRnf9dDgKT3AaV5Z+aOvR10cqmO8cFFXo&#10;uSf4yGrHO854aEu3j36JrvXgdflrzH4DAAD//wMAUEsDBBQABgAIAAAAIQBYDzZ22wAAAAgBAAAP&#10;AAAAZHJzL2Rvd25yZXYueG1sTI/BTsMwEETvSPyDtUjcqEOAKglxKkCFCycK4ryNXdsiXkexm4a/&#10;ZznBcTVPs2/azRIGMZsp+UgKrlcFCEN91J6sgo/356sKRMpIGodIRsG3SbDpzs9abHQ80ZuZd9kK&#10;LqHUoAKX89hImXpnAqZVHA1xdohTwMznZKWe8MTlYZBlUaxlQE/8weFonpzpv3bHoGD7aGvbVzi5&#10;baW9n5fPw6t9UeryYnm4B5HNkv9g+NVndejYaR+PpJMYFNze3DGpoORFHJf1ugaxZ64qSpBdK/8P&#10;6H4AAAD//wMAUEsBAi0AFAAGAAgAAAAhALaDOJL+AAAA4QEAABMAAAAAAAAAAAAAAAAAAAAAAFtD&#10;b250ZW50X1R5cGVzXS54bWxQSwECLQAUAAYACAAAACEAOP0h/9YAAACUAQAACwAAAAAAAAAAAAAA&#10;AAAvAQAAX3JlbHMvLnJlbHNQSwECLQAUAAYACAAAACEAcWkBUjgCAAB9BAAADgAAAAAAAAAAAAAA&#10;AAAuAgAAZHJzL2Uyb0RvYy54bWxQSwECLQAUAAYACAAAACEAWA82dtsAAAAIAQAADwAAAAAAAAAA&#10;AAAAAACSBAAAZHJzL2Rvd25yZXYueG1sUEsFBgAAAAAEAAQA8wAAAJoFAAAAAA==&#10;" fillcolor="white [3201]" strokeweight=".5pt">
                <v:textbox>
                  <w:txbxContent>
                    <w:p w14:paraId="3D294FA3" w14:textId="70EE020D" w:rsidR="006F7594" w:rsidRPr="00AC4620" w:rsidRDefault="006F7594">
                      <w:pPr>
                        <w:rPr>
                          <w:b/>
                          <w:bCs/>
                        </w:rPr>
                      </w:pPr>
                      <w:r w:rsidRPr="00AC4620">
                        <w:rPr>
                          <w:rFonts w:hint="eastAsia"/>
                          <w:b/>
                          <w:bCs/>
                        </w:rPr>
                        <w:t>ウェブ署名も可能です</w:t>
                      </w:r>
                    </w:p>
                    <w:p w14:paraId="75D19997" w14:textId="14F86D58" w:rsidR="00AC4620" w:rsidRDefault="00D1525A" w:rsidP="00AC4620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98783CA" wp14:editId="353FFABE">
                            <wp:extent cx="649117" cy="649117"/>
                            <wp:effectExtent l="0" t="0" r="0" b="0"/>
                            <wp:docPr id="3" name="図 3" descr="QR コード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3" descr="QR コード&#10;&#10;自動的に生成された説明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615" cy="659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5CD0" w:rsidRPr="00090F41">
        <w:rPr>
          <w:rFonts w:asciiTheme="minorEastAsia" w:hAnsiTheme="minorEastAsia" w:hint="eastAsia"/>
          <w:sz w:val="22"/>
          <w:szCs w:val="22"/>
        </w:rPr>
        <w:t>京都新・生存権裁判を支援する会</w:t>
      </w:r>
    </w:p>
    <w:p w14:paraId="662888CF" w14:textId="77777777" w:rsidR="001D5CD0" w:rsidRPr="00090F41" w:rsidRDefault="001D5CD0" w:rsidP="001D5CD0">
      <w:pPr>
        <w:jc w:val="right"/>
        <w:rPr>
          <w:rFonts w:asciiTheme="minorEastAsia" w:hAnsiTheme="minorEastAsia"/>
          <w:sz w:val="22"/>
          <w:szCs w:val="22"/>
        </w:rPr>
      </w:pPr>
      <w:r w:rsidRPr="00090F41">
        <w:rPr>
          <w:rFonts w:asciiTheme="minorEastAsia" w:hAnsiTheme="minorEastAsia" w:hint="eastAsia"/>
          <w:sz w:val="22"/>
          <w:szCs w:val="22"/>
        </w:rPr>
        <w:t>取扱い団体＝全京都生活と健康を守る会連合会</w:t>
      </w:r>
    </w:p>
    <w:p w14:paraId="3C155846" w14:textId="77777777" w:rsidR="001D5CD0" w:rsidRPr="00090F41" w:rsidRDefault="001D5CD0" w:rsidP="001D5CD0">
      <w:pPr>
        <w:jc w:val="right"/>
        <w:rPr>
          <w:rFonts w:asciiTheme="minorEastAsia" w:hAnsiTheme="minorEastAsia"/>
          <w:sz w:val="22"/>
          <w:szCs w:val="22"/>
        </w:rPr>
      </w:pPr>
      <w:r w:rsidRPr="00090F41">
        <w:rPr>
          <w:rFonts w:asciiTheme="minorEastAsia" w:hAnsiTheme="minorEastAsia" w:hint="eastAsia"/>
          <w:sz w:val="22"/>
          <w:szCs w:val="22"/>
        </w:rPr>
        <w:t>〒</w:t>
      </w:r>
      <w:r w:rsidRPr="00090F41">
        <w:rPr>
          <w:rFonts w:asciiTheme="minorEastAsia" w:hAnsiTheme="minorEastAsia"/>
          <w:sz w:val="22"/>
          <w:szCs w:val="22"/>
        </w:rPr>
        <w:t>604-8804 京都市中京区壬生坊城町56-1 浪花ビル4階A</w:t>
      </w:r>
    </w:p>
    <w:p w14:paraId="1A137C5E" w14:textId="19E83E90" w:rsidR="00725C28" w:rsidRPr="00090F41" w:rsidRDefault="001D5CD0" w:rsidP="001D5CD0">
      <w:pPr>
        <w:jc w:val="right"/>
        <w:rPr>
          <w:rFonts w:asciiTheme="minorEastAsia" w:hAnsiTheme="minorEastAsia"/>
          <w:sz w:val="22"/>
          <w:szCs w:val="22"/>
        </w:rPr>
      </w:pPr>
      <w:r w:rsidRPr="00090F41">
        <w:rPr>
          <w:rFonts w:asciiTheme="minorEastAsia" w:hAnsiTheme="minorEastAsia"/>
          <w:sz w:val="22"/>
          <w:szCs w:val="22"/>
        </w:rPr>
        <w:t xml:space="preserve">  電話（075) 366-6137       FAX (075) 366-6215</w:t>
      </w:r>
    </w:p>
    <w:sectPr w:rsidR="00725C28" w:rsidRPr="00090F41" w:rsidSect="00090F41">
      <w:pgSz w:w="11900" w:h="16840" w:code="9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C0"/>
    <w:rsid w:val="0001029A"/>
    <w:rsid w:val="00090F41"/>
    <w:rsid w:val="001D5CD0"/>
    <w:rsid w:val="004665C9"/>
    <w:rsid w:val="006F7594"/>
    <w:rsid w:val="00725C28"/>
    <w:rsid w:val="007C06F6"/>
    <w:rsid w:val="008E7678"/>
    <w:rsid w:val="009B6026"/>
    <w:rsid w:val="00A86AC0"/>
    <w:rsid w:val="00AC4620"/>
    <w:rsid w:val="00B02F3C"/>
    <w:rsid w:val="00C85A84"/>
    <w:rsid w:val="00CC2A72"/>
    <w:rsid w:val="00D1525A"/>
    <w:rsid w:val="00D25A41"/>
    <w:rsid w:val="00EA2756"/>
    <w:rsid w:val="00EE4686"/>
    <w:rsid w:val="00F7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A19DDA"/>
  <w15:chartTrackingRefBased/>
  <w15:docId w15:val="{7DF03187-11AB-4249-BF86-812E4374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NAKANO, Kanako</dc:creator>
  <cp:keywords/>
  <dc:description/>
  <cp:lastModifiedBy>PSW03</cp:lastModifiedBy>
  <cp:revision>2</cp:revision>
  <cp:lastPrinted>2023-06-20T05:01:00Z</cp:lastPrinted>
  <dcterms:created xsi:type="dcterms:W3CDTF">2023-07-06T04:01:00Z</dcterms:created>
  <dcterms:modified xsi:type="dcterms:W3CDTF">2023-07-06T04:01:00Z</dcterms:modified>
</cp:coreProperties>
</file>